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5376"/>
        <w:gridCol w:w="1509"/>
        <w:gridCol w:w="1336"/>
        <w:tblGridChange w:id="0">
          <w:tblGrid>
            <w:gridCol w:w="1705"/>
            <w:gridCol w:w="5376"/>
            <w:gridCol w:w="1509"/>
            <w:gridCol w:w="1336"/>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February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Equal Opportunity Employment</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5.104</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5.104</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03/03/25</w:t>
            </w:r>
          </w:p>
        </w:tc>
      </w:tr>
    </w:tbl>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tl w:val="0"/>
        </w:rPr>
      </w:r>
    </w:p>
    <w:bookmarkStart w:colFirst="0" w:colLast="0" w:name="bookmark=id.u7t0ah2nf36j" w:id="0"/>
    <w:bookmarkEnd w:id="0"/>
    <w:p w:rsidR="00000000" w:rsidDel="00000000" w:rsidP="00000000" w:rsidRDefault="00000000" w:rsidRPr="00000000" w14:paraId="00000015">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Opportunity for employment, as well as continuation and advancement in employment, shall be afforded equally to </w:t>
      </w:r>
    </w:p>
    <w:p w:rsidR="00000000" w:rsidDel="00000000" w:rsidP="00000000" w:rsidRDefault="00000000" w:rsidRPr="00000000" w14:paraId="00000016">
      <w:pP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members of all </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races;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ethnicities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all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creeds</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all colors;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either sex (Sex shall be defined as the “immutable characteristics of the person’s reproductive system that identify the person as male or female, as determined by anatomy and genetics existing at the time of birth” unless otherwise required by federal law);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genders,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all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religions</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individuals irrespective of age;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ages,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all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national origins</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and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individuals with disabilities</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1"/>
          <w:color w:val="000000"/>
          <w:sz w:val="24"/>
          <w:szCs w:val="24"/>
          <w:u w:val="none"/>
          <w:shd w:fill="auto" w:val="clear"/>
          <w:vertAlign w:val="baseline"/>
          <w:rtl w:val="0"/>
        </w:rPr>
        <w:t xml:space="preserve">or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and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veteran status </w:t>
      </w:r>
    </w:p>
    <w:p w:rsidR="00000000" w:rsidDel="00000000" w:rsidP="00000000" w:rsidRDefault="00000000" w:rsidRPr="00000000" w14:paraId="00000020">
      <w:pP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with regard only for qualifications for the positions involved. </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2"/>
        <w:tblpPr w:leftFromText="180" w:rightFromText="180" w:topFromText="0" w:bottomFromText="0" w:vertAnchor="text" w:horzAnchor="text" w:tblpX="80.99999999999966" w:tblpY="25"/>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20"/>
        <w:gridCol w:w="4554"/>
        <w:tblGridChange w:id="0">
          <w:tblGrid>
            <w:gridCol w:w="5220"/>
            <w:gridCol w:w="4554"/>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3">
            <w:pPr>
              <w:spacing w:before="240" w:lineRule="auto"/>
              <w:jc w:val="center"/>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4">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5">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6">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U.S. Constitution, Amendment XIV</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Title VII, Civil Rights Act of 1964</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9">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Public Acts of 2026, Chapter No. 938</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0">
              <w:r w:rsidDel="00000000" w:rsidR="00000000" w:rsidRPr="00000000">
                <w:rPr>
                  <w:rFonts w:ascii="Times New Roman" w:cs="Times New Roman" w:eastAsia="Times New Roman" w:hAnsi="Times New Roman"/>
                  <w:b w:val="0"/>
                  <w:bCs w:val="0"/>
                  <w:i w:val="1"/>
                  <w:iCs w:val="1"/>
                  <w:smallCaps w:val="0"/>
                  <w:strike w:val="0"/>
                  <w:color w:val="ee0000"/>
                  <w:sz w:val="18"/>
                  <w:szCs w:val="18"/>
                  <w:u w:val="single"/>
                  <w:shd w:fill="auto" w:val="clear"/>
                  <w:vertAlign w:val="baseline"/>
                  <w:rtl w:val="0"/>
                </w:rPr>
                <w:t xml:space="preserve">Bostock v. Clayton Cnty., Georgia</w:t>
              </w:r>
            </w:hyperlink>
            <w:hyperlink r:id="rId11">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 590 U.S. 644, 140 S. Ct. 1731, 207 L. Ed. 2d 218 (2020)</w:t>
              </w:r>
            </w:hyperlink>
            <w:r w:rsidDel="00000000" w:rsidR="00000000" w:rsidRPr="00000000">
              <w:rPr>
                <w:rFonts w:ascii="Times New Roman" w:cs="Times New Roman" w:eastAsia="Times New Roman" w:hAnsi="Times New Roman"/>
                <w:b w:val="0"/>
                <w:bCs w:val="0"/>
                <w:i w:val="0"/>
                <w:iCs w:val="0"/>
                <w:smallCaps w:val="0"/>
                <w:strike w:val="0"/>
                <w:color w:val="ee0000"/>
                <w:sz w:val="18"/>
                <w:szCs w:val="18"/>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Title VI, Civil Rights Act of 1964</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Title IX, Education Amendments of 1972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Age Discrimination Act of 1967</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Section 504 of the Rehabilitation Act of 1973</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42 USCA § 12101-12213</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50-10-101 </w:t>
              </w:r>
            </w:hyperlink>
            <w:r w:rsidDel="00000000" w:rsidR="00000000" w:rsidRPr="00000000">
              <w:rPr>
                <w:rtl w:val="0"/>
              </w:rPr>
            </w:r>
          </w:p>
        </w:tc>
        <w:tc>
          <w:tcPr/>
          <w:p w:rsidR="00000000" w:rsidDel="00000000" w:rsidP="00000000" w:rsidRDefault="00000000" w:rsidRPr="00000000" w14:paraId="00000028">
            <w:pPr>
              <w:spacing w:befor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504 and ADA Grievance Procedures 1.802</w:t>
              <w:br w:type="textWrapping"/>
              <w:t xml:space="preserve">Recruitment of Employees 5.105</w:t>
            </w:r>
          </w:p>
          <w:p w:rsidR="00000000" w:rsidDel="00000000" w:rsidP="00000000" w:rsidRDefault="00000000" w:rsidRPr="00000000" w14:paraId="00000029">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tl w:val="0"/>
              </w:rPr>
              <w:t xml:space="preserve">Discrimination/Harassment of Employees 5.500</w:t>
              <w:br w:type="textWrapping"/>
              <w:t xml:space="preserve">Complaints and Grievances 5.501</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8" w:type="default"/>
      <w:footerReference r:id="rId19" w:type="default"/>
      <w:footerReference r:id="rId20"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0" cy="19050"/>
              <wp:effectExtent b="0" l="0" r="0" t="0"/>
              <wp:wrapNone/>
              <wp:docPr id="4"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0" cy="19050"/>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&lt;Policy Title&gt;</w:t>
      <w:tab/>
      <w:tab/>
      <w:t xml:space="preserve">&lt;Descriptor Code&gt;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0" cy="28575"/>
              <wp:effectExtent b="0" l="0" r="0" t="0"/>
              <wp:wrapNone/>
              <wp:docPr id="3"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0" cy="28575"/>
              <wp:effectExtent b="0" l="0" r="0" t="0"/>
              <wp:wrapNone/>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470EE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neNumber">
    <w:name w:val="line number"/>
    <w:basedOn w:val="DefaultParagraphFont"/>
    <w:uiPriority w:val="99"/>
    <w:semiHidden w:val="1"/>
    <w:unhideWhenUsed w:val="1"/>
    <w:rsid w:val="003D2A67"/>
  </w:style>
  <w:style w:type="paragraph" w:styleId="ListParagraph">
    <w:name w:val="List Paragraph"/>
    <w:basedOn w:val="Normal"/>
    <w:uiPriority w:val="34"/>
    <w:qFormat w:val="1"/>
    <w:rsid w:val="003D2A67"/>
    <w:pPr>
      <w:ind w:left="720"/>
      <w:contextualSpacing w:val="1"/>
    </w:pPr>
  </w:style>
  <w:style w:type="paragraph" w:styleId="Header">
    <w:name w:val="header"/>
    <w:basedOn w:val="Normal"/>
    <w:link w:val="HeaderChar"/>
    <w:uiPriority w:val="99"/>
    <w:unhideWhenUsed w:val="1"/>
    <w:rsid w:val="003D2A67"/>
    <w:pPr>
      <w:tabs>
        <w:tab w:val="center" w:pos="4680"/>
        <w:tab w:val="right" w:pos="9360"/>
      </w:tabs>
      <w:spacing w:after="0" w:line="240" w:lineRule="auto"/>
    </w:pPr>
  </w:style>
  <w:style w:type="character" w:styleId="HeaderChar" w:customStyle="1">
    <w:name w:val="Header Char"/>
    <w:basedOn w:val="DefaultParagraphFont"/>
    <w:link w:val="Header"/>
    <w:uiPriority w:val="99"/>
    <w:rsid w:val="003D2A67"/>
  </w:style>
  <w:style w:type="paragraph" w:styleId="Footer">
    <w:name w:val="footer"/>
    <w:basedOn w:val="Normal"/>
    <w:link w:val="FooterChar"/>
    <w:uiPriority w:val="99"/>
    <w:unhideWhenUsed w:val="1"/>
    <w:rsid w:val="003D2A67"/>
    <w:pPr>
      <w:tabs>
        <w:tab w:val="center" w:pos="4680"/>
        <w:tab w:val="right" w:pos="9360"/>
      </w:tabs>
      <w:spacing w:after="0" w:line="240" w:lineRule="auto"/>
    </w:pPr>
  </w:style>
  <w:style w:type="character" w:styleId="FooterChar" w:customStyle="1">
    <w:name w:val="Footer Char"/>
    <w:basedOn w:val="DefaultParagraphFont"/>
    <w:link w:val="Footer"/>
    <w:uiPriority w:val="99"/>
    <w:rsid w:val="003D2A67"/>
  </w:style>
  <w:style w:type="paragraph" w:styleId="EndnoteText">
    <w:name w:val="endnote text"/>
    <w:basedOn w:val="Normal"/>
    <w:link w:val="EndnoteTextChar"/>
    <w:uiPriority w:val="99"/>
    <w:semiHidden w:val="1"/>
    <w:unhideWhenUsed w:val="1"/>
    <w:rsid w:val="00CB7BA8"/>
    <w:pPr>
      <w:spacing w:after="0" w:line="240" w:lineRule="auto"/>
    </w:pPr>
    <w:rPr>
      <w:sz w:val="20"/>
      <w:szCs w:val="20"/>
    </w:rPr>
  </w:style>
  <w:style w:type="character" w:styleId="EndnoteTextChar" w:customStyle="1">
    <w:name w:val="Endnote Text Char"/>
    <w:basedOn w:val="DefaultParagraphFont"/>
    <w:link w:val="EndnoteText"/>
    <w:uiPriority w:val="99"/>
    <w:semiHidden w:val="1"/>
    <w:rsid w:val="00CB7BA8"/>
    <w:rPr>
      <w:sz w:val="20"/>
      <w:szCs w:val="20"/>
    </w:rPr>
  </w:style>
  <w:style w:type="character" w:styleId="EndnoteReference">
    <w:name w:val="endnote reference"/>
    <w:basedOn w:val="DefaultParagraphFont"/>
    <w:uiPriority w:val="99"/>
    <w:semiHidden w:val="1"/>
    <w:unhideWhenUsed w:val="1"/>
    <w:rsid w:val="00CB7BA8"/>
    <w:rPr>
      <w:vertAlign w:val="superscript"/>
    </w:rPr>
  </w:style>
  <w:style w:type="character" w:styleId="PlaceholderText">
    <w:name w:val="Placeholder Text"/>
    <w:basedOn w:val="DefaultParagraphFont"/>
    <w:uiPriority w:val="99"/>
    <w:semiHidden w:val="1"/>
    <w:rsid w:val="00320562"/>
    <w:rPr>
      <w:color w:val="808080"/>
    </w:rPr>
  </w:style>
  <w:style w:type="paragraph" w:styleId="BalloonText">
    <w:name w:val="Balloon Text"/>
    <w:basedOn w:val="Normal"/>
    <w:link w:val="BalloonTextChar"/>
    <w:uiPriority w:val="99"/>
    <w:semiHidden w:val="1"/>
    <w:unhideWhenUsed w:val="1"/>
    <w:rsid w:val="00320562"/>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320562"/>
    <w:rPr>
      <w:rFonts w:ascii="Tahoma" w:cs="Tahoma" w:hAnsi="Tahoma"/>
      <w:sz w:val="16"/>
      <w:szCs w:val="16"/>
    </w:rPr>
  </w:style>
  <w:style w:type="paragraph" w:styleId="NoParagraphStyle" w:customStyle="1">
    <w:name w:val="[No Paragraph Style]"/>
    <w:rsid w:val="00704FA9"/>
    <w:pPr>
      <w:autoSpaceDE w:val="0"/>
      <w:autoSpaceDN w:val="0"/>
      <w:adjustRightInd w:val="0"/>
      <w:spacing w:after="0" w:line="288" w:lineRule="auto"/>
      <w:textAlignment w:val="center"/>
    </w:pPr>
    <w:rPr>
      <w:rFonts w:ascii="Times Roman" w:cs="Times Roman" w:hAnsi="Times Roman"/>
      <w:color w:val="000000"/>
      <w:sz w:val="24"/>
      <w:szCs w:val="24"/>
    </w:rPr>
  </w:style>
  <w:style w:type="character" w:styleId="Hyperlink">
    <w:name w:val="Hyperlink"/>
    <w:basedOn w:val="DefaultParagraphFont"/>
    <w:uiPriority w:val="99"/>
    <w:unhideWhenUsed w:val="1"/>
    <w:rsid w:val="005C63F8"/>
    <w:rPr>
      <w:color w:val="0000ff" w:themeColor="hyperlink"/>
      <w:u w:val="single"/>
    </w:rPr>
  </w:style>
  <w:style w:type="character" w:styleId="FollowedHyperlink">
    <w:name w:val="FollowedHyperlink"/>
    <w:basedOn w:val="DefaultParagraphFont"/>
    <w:uiPriority w:val="99"/>
    <w:semiHidden w:val="1"/>
    <w:unhideWhenUsed w:val="1"/>
    <w:rsid w:val="001532E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supremecourt.gov/opinions/19pdf/17-1618_hfci.pdf" TargetMode="External"/><Relationship Id="rId10" Type="http://schemas.openxmlformats.org/officeDocument/2006/relationships/hyperlink" Target="https://www.supremecourt.gov/opinions/19pdf/17-1618_hfci.pdf" TargetMode="External"/><Relationship Id="rId13" Type="http://schemas.openxmlformats.org/officeDocument/2006/relationships/hyperlink" Target="https://uscode.house.gov/view.xhtml?path=/prelim@title20/chapter38&amp;edition=prelim" TargetMode="External"/><Relationship Id="rId12" Type="http://schemas.openxmlformats.org/officeDocument/2006/relationships/hyperlink" Target="https://uscode.house.gov/view.xhtml?path=/prelim@title42/chapter21/subchapter5&amp;edition=preli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ublications.tnsosfiles.com/acts/114/pub/pc0938.pdf" TargetMode="External"/><Relationship Id="rId15" Type="http://schemas.openxmlformats.org/officeDocument/2006/relationships/hyperlink" Target="https://uscode.house.gov/view.xhtml?req=(title:29%20section:794%20edition:prelim)%20OR%20(granuleid:USC-prelim-title29-section794)&amp;f=treesort&amp;edition=prelim&amp;num=0&amp;jumpTo=true" TargetMode="External"/><Relationship Id="rId14" Type="http://schemas.openxmlformats.org/officeDocument/2006/relationships/hyperlink" Target="https://uscode.house.gov/view.xhtml?path=/prelim@title29/chapter14&amp;edition=prelim" TargetMode="External"/><Relationship Id="rId17" Type="http://schemas.openxmlformats.org/officeDocument/2006/relationships/hyperlink" Target="https://legal.tsba.net/state-statutes/t-c-a-%C2%A7-50-10-101-short-title" TargetMode="External"/><Relationship Id="rId16" Type="http://schemas.openxmlformats.org/officeDocument/2006/relationships/hyperlink" Target="https://uscode.house.gov/view.xhtml?path=/prelim@title42/chapter126&amp;edition=prelim"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constitution.congress.gov/constitution/amendment-14/" TargetMode="External"/><Relationship Id="rId8" Type="http://schemas.openxmlformats.org/officeDocument/2006/relationships/hyperlink" Target="https://uscode.house.gov/view.xhtml?path=/prelim@title42/chapter21/subchapter6&amp;edition=preli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cvYKkk0vk7hFeLs1XwkUVEdm5w==">CgMxLjAyD2lkLnU3dDBhaDJuZjM2ajgAciExQ1Q5Mk1laTBwQmhOaHE4aW9yZy1MMEdndEZuNENnbEY=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2026-07-09T17:40:00Z</dcterms:created>
  <dc:creator>TSBA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5335600.0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{"FileActivityType":"9","FileActivityTimeStamp":"2026-05-09T03:19:11.287Z","FileActivityUsersOnPage":[{"DisplayName":"KBSAdmin","Id":"kbsadmin@tsba.net"}],"FileActivityNavigationId":null}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